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both"/>
        <w:rPr>
          <w:rFonts w:ascii="Verdana" w:hAnsi="Verdana" w:cs="Verdana"/>
          <w:i w:val="0"/>
          <w:iCs w:val="0"/>
          <w:caps w:val="0"/>
          <w:color w:val="333333"/>
          <w:spacing w:val="0"/>
          <w:sz w:val="32"/>
          <w:szCs w:val="32"/>
        </w:rPr>
      </w:pPr>
      <w:r>
        <w:rPr>
          <w:rFonts w:ascii="方正黑体_GBK" w:hAnsi="方正黑体_GBK" w:eastAsia="方正黑体_GBK" w:cs="方正黑体_GBK"/>
          <w:i w:val="0"/>
          <w:iCs w:val="0"/>
          <w:caps w:val="0"/>
          <w:color w:val="333333"/>
          <w:spacing w:val="0"/>
          <w:sz w:val="32"/>
          <w:szCs w:val="32"/>
          <w:shd w:val="clear" w:fill="FFFFFF"/>
        </w:rPr>
        <w:t>附件</w:t>
      </w:r>
      <w:r>
        <w:rPr>
          <w:rFonts w:hint="default" w:ascii="Times New Roman" w:hAnsi="Times New Roman" w:eastAsia="方正黑体_GBK" w:cs="Times New Roman"/>
          <w:i w:val="0"/>
          <w:iCs w:val="0"/>
          <w:caps w:val="0"/>
          <w:color w:val="333333"/>
          <w:spacing w:val="0"/>
          <w:sz w:val="32"/>
          <w:szCs w:val="32"/>
          <w:shd w:val="clear" w:fill="FFFFFF"/>
        </w:rPr>
        <w:t>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both"/>
        <w:rPr>
          <w:rFonts w:hint="default" w:ascii="Verdana" w:hAnsi="Verdana" w:cs="Verdana"/>
          <w:i w:val="0"/>
          <w:iCs w:val="0"/>
          <w:caps w:val="0"/>
          <w:color w:val="333333"/>
          <w:spacing w:val="0"/>
          <w:sz w:val="32"/>
          <w:szCs w:val="32"/>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default" w:ascii="Times New Roman" w:hAnsi="Times New Roman" w:cs="Times New Roman"/>
          <w:i w:val="0"/>
          <w:iCs w:val="0"/>
          <w:caps w:val="0"/>
          <w:color w:val="333333"/>
          <w:spacing w:val="0"/>
          <w:sz w:val="32"/>
          <w:szCs w:val="32"/>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default" w:ascii="Times New Roman" w:hAnsi="Times New Roman" w:cs="Times New Roman"/>
          <w:i w:val="0"/>
          <w:iCs w:val="0"/>
          <w:caps w:val="0"/>
          <w:color w:val="333333"/>
          <w:spacing w:val="0"/>
          <w:sz w:val="32"/>
          <w:szCs w:val="32"/>
        </w:rPr>
      </w:pPr>
      <w:r>
        <w:rPr>
          <w:rFonts w:hint="eastAsia" w:ascii="方正小标宋_GBK" w:hAnsi="方正小标宋_GBK" w:eastAsia="方正小标宋_GBK" w:cs="方正小标宋_GBK"/>
          <w:i w:val="0"/>
          <w:iCs w:val="0"/>
          <w:caps w:val="0"/>
          <w:color w:val="333333"/>
          <w:spacing w:val="0"/>
          <w:kern w:val="0"/>
          <w:sz w:val="44"/>
          <w:szCs w:val="44"/>
          <w:shd w:val="clear" w:fill="FFFFFF"/>
          <w:lang w:val="en-US" w:eastAsia="zh-CN" w:bidi="ar"/>
        </w:rPr>
        <w:t>中特理论项目申报说明和选题指南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960"/>
        <w:jc w:val="left"/>
        <w:rPr>
          <w:rFonts w:hint="default" w:ascii="Times New Roman" w:hAnsi="Times New Roman" w:cs="Times New Roman"/>
          <w:i w:val="0"/>
          <w:iCs w:val="0"/>
          <w:caps w:val="0"/>
          <w:color w:val="333333"/>
          <w:spacing w:val="0"/>
          <w:sz w:val="32"/>
          <w:szCs w:val="32"/>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hint="eastAsia" w:ascii="方正黑体_GBK" w:hAnsi="方正黑体_GBK" w:eastAsia="方正黑体_GBK" w:cs="方正黑体_GBK"/>
          <w:i w:val="0"/>
          <w:iCs w:val="0"/>
          <w:caps w:val="0"/>
          <w:color w:val="333333"/>
          <w:spacing w:val="0"/>
          <w:kern w:val="0"/>
          <w:sz w:val="32"/>
          <w:szCs w:val="32"/>
          <w:shd w:val="clear" w:fill="FFFFFF"/>
          <w:lang w:val="en-US" w:eastAsia="zh-CN" w:bidi="ar"/>
        </w:rPr>
        <w:t>一、申报说明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ascii="方正楷体_GBK" w:hAnsi="方正楷体_GBK" w:eastAsia="方正楷体_GBK" w:cs="方正楷体_GBK"/>
          <w:i w:val="0"/>
          <w:iCs w:val="0"/>
          <w:caps w:val="0"/>
          <w:color w:val="333333"/>
          <w:spacing w:val="0"/>
          <w:kern w:val="0"/>
          <w:sz w:val="32"/>
          <w:szCs w:val="32"/>
          <w:shd w:val="clear" w:fill="FFFFFF"/>
          <w:lang w:val="en-US" w:eastAsia="zh-CN" w:bidi="ar"/>
        </w:rPr>
        <w:t>（一）选题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．“选题指南”中重大（</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1-3</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题）和重点（</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4-13</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题）项目选题条目，原则上实行原题申报。一般项目可根据相关选题指南为研究方向，进一步深化选题。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．自选题申报应围绕学习贯彻党的十九届六中全会精神、</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2022</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年全国“两会”精神、市委五届十一次全会精神等开展研究，鼓励重点围绕习近平新时代中国特色社会主义思想的新内涵新概括、习近平总书记对重庆所作重要讲话和系列重要指示批示精神的学理性阐释和实践经验总结等开展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3</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．申报题目的表述应科学、严谨、规范、简明，一般不加副标题。</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atLeast"/>
        <w:ind w:left="0" w:right="0" w:firstLine="646"/>
        <w:jc w:val="both"/>
        <w:textAlignment w:val="center"/>
        <w:rPr>
          <w:rFonts w:hint="default" w:ascii="Times New Roman" w:hAnsi="Times New Roman" w:cs="Times New Roman"/>
          <w:i w:val="0"/>
          <w:iCs w:val="0"/>
          <w:caps w:val="0"/>
          <w:color w:val="333333"/>
          <w:spacing w:val="0"/>
          <w:sz w:val="32"/>
          <w:szCs w:val="32"/>
        </w:rPr>
      </w:pPr>
      <w:r>
        <w:rPr>
          <w:rFonts w:hint="eastAsia" w:ascii="方正楷体_GBK" w:hAnsi="方正楷体_GBK" w:eastAsia="方正楷体_GBK" w:cs="方正楷体_GBK"/>
          <w:i w:val="0"/>
          <w:iCs w:val="0"/>
          <w:caps w:val="0"/>
          <w:color w:val="333333"/>
          <w:spacing w:val="0"/>
          <w:kern w:val="0"/>
          <w:sz w:val="32"/>
          <w:szCs w:val="32"/>
          <w:shd w:val="clear" w:fill="FFFFFF"/>
          <w:lang w:val="en-US" w:eastAsia="zh-CN" w:bidi="ar"/>
        </w:rPr>
        <w:t>（二）项目类型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center"/>
        <w:rPr>
          <w:rFonts w:hint="default" w:ascii="Times New Roman" w:hAnsi="Times New Roman" w:cs="Times New Roman"/>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包括重大项目、重点项目和一般项目。不单设青年项目，一般项目将适当向青年</w:t>
      </w:r>
      <w:bookmarkStart w:id="0" w:name="_GoBack"/>
      <w:bookmarkEnd w:id="0"/>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学者倾斜。原则上应为理论类研究项目。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hint="eastAsia" w:ascii="方正楷体_GBK" w:hAnsi="方正楷体_GBK" w:eastAsia="方正楷体_GBK" w:cs="方正楷体_GBK"/>
          <w:i w:val="0"/>
          <w:iCs w:val="0"/>
          <w:caps w:val="0"/>
          <w:color w:val="333333"/>
          <w:spacing w:val="0"/>
          <w:kern w:val="0"/>
          <w:sz w:val="32"/>
          <w:szCs w:val="32"/>
          <w:shd w:val="clear" w:fill="FFFFFF"/>
          <w:lang w:val="en-US" w:eastAsia="zh-CN" w:bidi="ar"/>
        </w:rPr>
        <w:t>（三）项目申请人的条件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项目申请人的基本条件应符合《重庆市社会科学规划项目管理办法》及本申报通知有关规定。为鼓励和支持更多优秀专家学者积极申报中特理论项目，此次中特理论项目对申请人是否有在研社科规划项目不做限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hint="eastAsia" w:ascii="方正楷体_GBK" w:hAnsi="方正楷体_GBK" w:eastAsia="方正楷体_GBK" w:cs="方正楷体_GBK"/>
          <w:i w:val="0"/>
          <w:iCs w:val="0"/>
          <w:caps w:val="0"/>
          <w:color w:val="333333"/>
          <w:spacing w:val="0"/>
          <w:kern w:val="0"/>
          <w:sz w:val="32"/>
          <w:szCs w:val="32"/>
          <w:shd w:val="clear" w:fill="FFFFFF"/>
          <w:lang w:val="en-US" w:eastAsia="zh-CN" w:bidi="ar"/>
        </w:rPr>
        <w:t>（四）预期成果形式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A</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学术专著；</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B</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研究报告；</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C</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研究报告（或学术专著）</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“三报一刊”理论文章。选择其中一类申报。“三报一刊”系指《人民日报》《光明日报》《经济日报》《求是》。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联系电话：</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67992761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5"/>
        <w:jc w:val="both"/>
        <w:textAlignment w:val="center"/>
        <w:rPr>
          <w:rFonts w:hint="default" w:ascii="Times New Roman" w:hAnsi="Times New Roman" w:cs="Times New Roman"/>
          <w:i w:val="0"/>
          <w:iCs w:val="0"/>
          <w:caps w:val="0"/>
          <w:color w:val="333333"/>
          <w:spacing w:val="0"/>
          <w:sz w:val="32"/>
          <w:szCs w:val="32"/>
        </w:rPr>
      </w:pP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联系地址：重庆市江北区桥北村</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270</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号重庆市中国特色社会主义理论体系研究中心秘书处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eastAsia" w:ascii="方正黑体_GBK" w:hAnsi="方正黑体_GBK" w:eastAsia="方正黑体_GBK" w:cs="方正黑体_GBK"/>
          <w:i w:val="0"/>
          <w:iCs w:val="0"/>
          <w:caps w:val="0"/>
          <w:color w:val="333333"/>
          <w:spacing w:val="0"/>
          <w:kern w:val="0"/>
          <w:sz w:val="32"/>
          <w:szCs w:val="32"/>
          <w:shd w:val="clear" w:fill="FFFFFF"/>
          <w:lang w:val="en-US" w:eastAsia="zh-CN" w:bidi="ar"/>
        </w:rPr>
        <w:t>二、选题指南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．习近平总书记对重庆重要指示要求对新时代党的创新理论的原创性贡献研究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．践行习近平总书记对重庆重要指示要求的经验总结与启示研究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3</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w:t>
      </w:r>
      <w:r>
        <w:rPr>
          <w:rFonts w:hint="eastAsia" w:ascii="方正仿宋_GBK" w:hAnsi="方正仿宋_GBK" w:eastAsia="方正仿宋_GBK" w:cs="方正仿宋_GBK"/>
          <w:i w:val="0"/>
          <w:iCs w:val="0"/>
          <w:caps w:val="0"/>
          <w:color w:val="333333"/>
          <w:spacing w:val="-6"/>
          <w:kern w:val="0"/>
          <w:sz w:val="32"/>
          <w:szCs w:val="32"/>
          <w:shd w:val="clear" w:fill="FFFFFF"/>
          <w:lang w:val="en-US" w:eastAsia="zh-CN" w:bidi="ar"/>
        </w:rPr>
        <w:t>重庆努力发挥“三个作用”推动高质量发展实践探索研究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4</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．“两个确立”的决定性意义和实践要求研究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5</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．中国共产党第三个历史决议与“归根到底是马克思主义行”研究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6</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．习近平关于尊重和保障人权重要论述的原创性贡献研究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7</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．习近平总书记关于人类卫生健康共同体重要论述研究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8</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．乡村产业振兴促进农民农村共同富裕实现路径研究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9</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．成渝地区双城经济圈建设成效评估研究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10</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．内陆开放理论建构与重庆实践研究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11</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．历史主动精神的哲学阐释研究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12</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．意识形态领域热点舆情动态跟踪研究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13</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．新时代社会主义精神文明建设研究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14</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．习近平关于注重家庭家教家风建设重要论述研究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15</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．新时代中国特色社会主义公平正义理论内涵研究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16</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．中国共产党斗争精神的历史演进及基本经验研究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17</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．中国共产党人精神谱系融入高校思想政治教育研究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18</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．坚持党对经济工作的领导与中国特色社会主义基本经济制度研究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19</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．新发展格局下推动开放型经济高质量发展研究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20</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．要素市场化配置综合改革推动经济高质量发展机制研究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21</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．发展全过程人民民主的制度建设途径研究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22</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．新时代筑牢优秀年轻干部初心使命长效机制研究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23</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．网络空间马克思主义话语权建构研究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24</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．新时代提升中国特色社会主义国际话语权研究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25</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．精神生活共同富裕丰富内涵及评价体系研究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26</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．网络强国视阈下网络文化综合治理体系研究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27</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．数字乡村建设推动农村治理现代化研究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28</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．乡村振兴视域下政府引导农民工返乡就业技能培训研究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29</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．“双碳”背景下中国的国家利益实现问题研究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30</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．中国特色大国外交服务民族复兴的使命与路径研究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31</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．重庆持续营造良好政治生态研究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32</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．重庆数字经济发展指标体系研究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33</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．健全“一区两群”数字产业协同发展机制研究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34</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．重庆市数字人才评价体系建设与高质量发展策略研究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Times New Roman" w:hAnsi="Times New Roman" w:cs="Times New Roman"/>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35</w:t>
      </w:r>
      <w:r>
        <w:rPr>
          <w:rFonts w:hint="eastAsia" w:ascii="方正仿宋_GBK" w:hAnsi="方正仿宋_GBK" w:eastAsia="方正仿宋_GBK" w:cs="方正仿宋_GBK"/>
          <w:i w:val="0"/>
          <w:iCs w:val="0"/>
          <w:caps w:val="0"/>
          <w:color w:val="333333"/>
          <w:spacing w:val="0"/>
          <w:kern w:val="0"/>
          <w:sz w:val="32"/>
          <w:szCs w:val="32"/>
          <w:shd w:val="clear" w:fill="FFFFFF"/>
          <w:lang w:val="en-US" w:eastAsia="zh-CN" w:bidi="ar"/>
        </w:rPr>
        <w:t>．红岩精神与重庆文化研究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9" w:lineRule="atLeast"/>
        <w:ind w:left="0" w:right="0" w:firstLine="640"/>
        <w:jc w:val="both"/>
        <w:rPr>
          <w:rFonts w:hint="default" w:ascii="Verdana" w:hAnsi="Verdana" w:cs="Verdana"/>
          <w:i w:val="0"/>
          <w:iCs w:val="0"/>
          <w:caps w:val="0"/>
          <w:color w:val="333333"/>
          <w:spacing w:val="0"/>
          <w:sz w:val="32"/>
          <w:szCs w:val="32"/>
        </w:rPr>
      </w:pPr>
      <w:r>
        <w:rPr>
          <w:rFonts w:hint="default" w:ascii="Times New Roman" w:hAnsi="Times New Roman" w:eastAsia="方正仿宋_GBK" w:cs="Times New Roman"/>
          <w:i w:val="0"/>
          <w:iCs w:val="0"/>
          <w:caps w:val="0"/>
          <w:color w:val="333333"/>
          <w:spacing w:val="0"/>
          <w:sz w:val="32"/>
          <w:szCs w:val="32"/>
          <w:shd w:val="clear" w:fill="FFFFFF"/>
        </w:rPr>
        <w:t>36</w:t>
      </w:r>
      <w:r>
        <w:rPr>
          <w:rFonts w:hint="eastAsia" w:ascii="方正仿宋_GBK" w:hAnsi="方正仿宋_GBK" w:eastAsia="方正仿宋_GBK" w:cs="方正仿宋_GBK"/>
          <w:i w:val="0"/>
          <w:iCs w:val="0"/>
          <w:caps w:val="0"/>
          <w:color w:val="333333"/>
          <w:spacing w:val="0"/>
          <w:sz w:val="32"/>
          <w:szCs w:val="32"/>
          <w:shd w:val="clear" w:fill="FFFFFF"/>
        </w:rPr>
        <w:t>．红岩精神对当代大学生的价值引领机制研究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00000000"/>
    <w:rsid w:val="13CD628F"/>
    <w:rsid w:val="2B3810C2"/>
    <w:rsid w:val="4BBF1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Administrator</cp:lastModifiedBy>
  <dcterms:modified xsi:type="dcterms:W3CDTF">2022-05-07T06:07:28Z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C9D6F01C423E46C59D52A580D194FB15</vt:lpwstr>
  </property>
</Properties>
</file>